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A6" w:rsidRDefault="00FE38A6" w:rsidP="00FE38A6">
      <w:pPr>
        <w:spacing w:after="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АДМИНИСТРАЦИЯ  ЛИНЕЦКОГО СЕЛЬСОВЕТА 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E38A6" w:rsidRPr="00FE38A6" w:rsidRDefault="00FE38A6" w:rsidP="00FE38A6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  <w:t xml:space="preserve">от 21 июня 2018 г. № </w:t>
      </w:r>
      <w:r w:rsidRPr="00FE38A6">
        <w:rPr>
          <w:rFonts w:ascii="Arial" w:hAnsi="Arial" w:cs="Arial"/>
          <w:b/>
          <w:bCs/>
          <w:color w:val="000000"/>
          <w:spacing w:val="-7"/>
          <w:w w:val="107"/>
          <w:sz w:val="32"/>
          <w:szCs w:val="32"/>
        </w:rPr>
        <w:t>22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об особенностях подачи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и рассмотрения жалоб на решения и действия (бездействие)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и ее должностных лиц, муниципальных служащих, замещающих должности муниципальной службы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>
        <w:rPr>
          <w:rFonts w:ascii="Arial" w:hAnsi="Arial" w:cs="Arial"/>
          <w:sz w:val="24"/>
          <w:szCs w:val="24"/>
        </w:rPr>
        <w:t xml:space="preserve"> лиц государственных внебюджетных фондов Российской Федерации», Администрация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Утвердить прилагаемое Положение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со дня его подписания.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Т.В.Брехова </w:t>
      </w: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tabs>
          <w:tab w:val="left" w:pos="26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FE38A6" w:rsidRP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21.06.2018 года   № </w:t>
      </w:r>
      <w:r w:rsidRPr="00FE38A6">
        <w:rPr>
          <w:rFonts w:ascii="Arial" w:hAnsi="Arial" w:cs="Arial"/>
          <w:sz w:val="24"/>
          <w:szCs w:val="24"/>
        </w:rPr>
        <w:t>22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Положение 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FE38A6" w:rsidRDefault="00FE38A6" w:rsidP="00FE38A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при предоставлении муниципальных (государственных) услуг (далее - жалобы). </w:t>
      </w:r>
      <w:proofErr w:type="gramEnd"/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FE38A6" w:rsidRDefault="00FE38A6" w:rsidP="00FE38A6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подается в структурное подразделение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приемную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FE38A6" w:rsidRDefault="00FE38A6" w:rsidP="00FE38A6">
      <w:pPr>
        <w:pStyle w:val="a3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Жалоба должна содержать: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Arial" w:hAnsi="Arial" w:cs="Arial"/>
          <w:sz w:val="24"/>
          <w:szCs w:val="24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Arial" w:hAnsi="Arial" w:cs="Arial"/>
          <w:sz w:val="24"/>
          <w:szCs w:val="24"/>
        </w:rPr>
        <w:t>представлена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в письменной форме может быть также направлена по почте.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В электронном виде жалоба может быть подана заявителем посредством: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а) официального сайта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 xml:space="preserve"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</w:t>
      </w:r>
      <w:r>
        <w:rPr>
          <w:rFonts w:ascii="Arial" w:hAnsi="Arial" w:cs="Arial"/>
          <w:sz w:val="24"/>
          <w:szCs w:val="24"/>
        </w:rPr>
        <w:lastRenderedPageBreak/>
        <w:t>(работника).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proofErr w:type="gramStart"/>
      <w:r>
        <w:rPr>
          <w:rFonts w:ascii="Arial" w:hAnsi="Arial" w:cs="Arial"/>
          <w:sz w:val="24"/>
          <w:szCs w:val="24"/>
        </w:rPr>
        <w:t>жалоба</w:t>
      </w:r>
      <w:proofErr w:type="gramEnd"/>
      <w:r>
        <w:rPr>
          <w:rFonts w:ascii="Arial" w:hAnsi="Arial" w:cs="Arial"/>
          <w:sz w:val="24"/>
          <w:szCs w:val="24"/>
        </w:rPr>
        <w:t xml:space="preserve"> поступившая в Администрацию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рассматривается заместителем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курирующим деятельность органа, предоставляющего муниципальную (государственную) услугу, порядок предоставления которой был нарушен, либо непосредственно Главой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Уполномоченные на рассмотрение жалоб должностные лица обеспечивают: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прием и рассмотрение жалоб в соответствии с требованиями настоящего Положения;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- соглашение о взаимодействии), но не позднее следующего рабочего дня со дня поступления жалобы.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Заявитель может обратиться с </w:t>
      </w:r>
      <w:proofErr w:type="gramStart"/>
      <w:r>
        <w:rPr>
          <w:rFonts w:ascii="Arial" w:hAnsi="Arial" w:cs="Arial"/>
          <w:sz w:val="24"/>
          <w:szCs w:val="24"/>
        </w:rPr>
        <w:t>жалобой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в следующих случаях: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нарушение срока предоставления муниципальной (государственной) услуги;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Органы, предоставляющие муниципальные (государственные) услуги, обеспечивают: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оснащение мест приема жалоб;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на Едином портале;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FE38A6" w:rsidRDefault="00FE38A6" w:rsidP="00FE38A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формирование и представление ежеквартально Главе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отчетности о полученных и рассмотренных жалобах (в том числе о количестве удовлетворенных и неудовлетворенных жалоб).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В ответе по результатам рассмотрения жалобы указываются: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фамилия, имя, отчество (при наличии) или наименование заявителя;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в) основания для принятия решения по жалобе;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принятое по жалобе решение;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сведения о порядке обжалования принятого по жалобе решения.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В удовлетворении жалобы отказывается в следующих случаях: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FE38A6" w:rsidRDefault="00FE38A6" w:rsidP="00FE38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Жалоба может быть оставлена без ответа в следующих случаях: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FE38A6" w:rsidRDefault="00FE38A6" w:rsidP="00FE38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38A6" w:rsidRDefault="00FE38A6" w:rsidP="000B3E4B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54852" w:rsidRPr="009C04C2" w:rsidRDefault="00FE38A6" w:rsidP="00E57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</w:t>
      </w:r>
    </w:p>
    <w:sectPr w:rsidR="00054852" w:rsidRPr="009C04C2" w:rsidSect="000B3E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598D"/>
    <w:multiLevelType w:val="hybridMultilevel"/>
    <w:tmpl w:val="F58CADCA"/>
    <w:lvl w:ilvl="0" w:tplc="66F07C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F7AC4"/>
    <w:rsid w:val="00042646"/>
    <w:rsid w:val="00054852"/>
    <w:rsid w:val="000B3E4B"/>
    <w:rsid w:val="00117153"/>
    <w:rsid w:val="001A0013"/>
    <w:rsid w:val="002124E6"/>
    <w:rsid w:val="002B4B9D"/>
    <w:rsid w:val="003B15CE"/>
    <w:rsid w:val="003B7677"/>
    <w:rsid w:val="00401070"/>
    <w:rsid w:val="00455E1E"/>
    <w:rsid w:val="00463782"/>
    <w:rsid w:val="004763A6"/>
    <w:rsid w:val="004B17C0"/>
    <w:rsid w:val="004C0CC8"/>
    <w:rsid w:val="00517BFF"/>
    <w:rsid w:val="005235F7"/>
    <w:rsid w:val="00546352"/>
    <w:rsid w:val="005720A9"/>
    <w:rsid w:val="005F7AC4"/>
    <w:rsid w:val="00665597"/>
    <w:rsid w:val="00694A94"/>
    <w:rsid w:val="007025F6"/>
    <w:rsid w:val="007040E6"/>
    <w:rsid w:val="00754B75"/>
    <w:rsid w:val="0079255C"/>
    <w:rsid w:val="00822803"/>
    <w:rsid w:val="00825530"/>
    <w:rsid w:val="00837DA0"/>
    <w:rsid w:val="00871774"/>
    <w:rsid w:val="00872009"/>
    <w:rsid w:val="008A021F"/>
    <w:rsid w:val="008A4F48"/>
    <w:rsid w:val="008B761C"/>
    <w:rsid w:val="00911D52"/>
    <w:rsid w:val="00942C13"/>
    <w:rsid w:val="009C04C2"/>
    <w:rsid w:val="009D2FB7"/>
    <w:rsid w:val="009F4547"/>
    <w:rsid w:val="00A27CF9"/>
    <w:rsid w:val="00AC51F2"/>
    <w:rsid w:val="00B51CEC"/>
    <w:rsid w:val="00B51E26"/>
    <w:rsid w:val="00BA677B"/>
    <w:rsid w:val="00BF3E18"/>
    <w:rsid w:val="00C616B7"/>
    <w:rsid w:val="00CE1E2F"/>
    <w:rsid w:val="00D03D61"/>
    <w:rsid w:val="00D40B4B"/>
    <w:rsid w:val="00E27CA9"/>
    <w:rsid w:val="00E54CC7"/>
    <w:rsid w:val="00E5716E"/>
    <w:rsid w:val="00EE0D05"/>
    <w:rsid w:val="00EE4E66"/>
    <w:rsid w:val="00EF0722"/>
    <w:rsid w:val="00F07F5A"/>
    <w:rsid w:val="00F52FB1"/>
    <w:rsid w:val="00F71681"/>
    <w:rsid w:val="00F92091"/>
    <w:rsid w:val="00FA3BED"/>
    <w:rsid w:val="00FA4B90"/>
    <w:rsid w:val="00FC2EB5"/>
    <w:rsid w:val="00FE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7C0"/>
    <w:pPr>
      <w:ind w:left="720"/>
    </w:pPr>
  </w:style>
  <w:style w:type="paragraph" w:styleId="a4">
    <w:name w:val="Balloon Text"/>
    <w:basedOn w:val="a"/>
    <w:link w:val="a5"/>
    <w:uiPriority w:val="99"/>
    <w:semiHidden/>
    <w:rsid w:val="003B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767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2B4B9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2252</Words>
  <Characters>12840</Characters>
  <Application>Microsoft Office Word</Application>
  <DocSecurity>0</DocSecurity>
  <Lines>107</Lines>
  <Paragraphs>30</Paragraphs>
  <ScaleCrop>false</ScaleCrop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2015-09-23T09:52:00Z</cp:lastPrinted>
  <dcterms:created xsi:type="dcterms:W3CDTF">2017-02-20T12:40:00Z</dcterms:created>
  <dcterms:modified xsi:type="dcterms:W3CDTF">2018-07-11T10:59:00Z</dcterms:modified>
</cp:coreProperties>
</file>